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9D1B8C" w:rsidRPr="00352A69" w:rsidRDefault="009D1B8C" w:rsidP="000B6659">
      <w:pPr>
        <w:spacing w:after="0" w:line="240" w:lineRule="auto"/>
        <w:ind w:left="2832" w:right="-850" w:firstLine="708"/>
        <w:rPr>
          <w:rFonts w:ascii="Times New Roman" w:hAnsi="Times New Roman"/>
          <w:sz w:val="28"/>
          <w:lang w:val="uk-UA"/>
        </w:rPr>
      </w:pPr>
      <w:r>
        <w:rPr>
          <w:rFonts w:ascii="Times New Roman" w:hAnsi="Times New Roman"/>
          <w:sz w:val="28"/>
          <w:lang w:val="uk-UA"/>
        </w:rPr>
        <w:t xml:space="preserve">        </w:t>
      </w:r>
      <w:r w:rsidRPr="00352A69">
        <w:rPr>
          <w:rFonts w:ascii="Times New Roman" w:hAnsi="Times New Roman"/>
          <w:sz w:val="28"/>
          <w:lang w:val="uk-UA"/>
        </w:rPr>
        <w:t>О.П.Зуєнко, вчитель початкових класів</w:t>
      </w:r>
    </w:p>
    <w:p w:rsidR="009D1B8C" w:rsidRPr="00352A69" w:rsidRDefault="009D1B8C" w:rsidP="000B6659">
      <w:pPr>
        <w:spacing w:after="0" w:line="240" w:lineRule="auto"/>
        <w:ind w:left="2832" w:right="-850" w:firstLine="708"/>
        <w:rPr>
          <w:rFonts w:ascii="Times New Roman" w:hAnsi="Times New Roman"/>
          <w:sz w:val="28"/>
          <w:lang w:val="uk-UA"/>
        </w:rPr>
      </w:pPr>
      <w:r w:rsidRPr="00352A69">
        <w:rPr>
          <w:rFonts w:ascii="Times New Roman" w:hAnsi="Times New Roman"/>
          <w:sz w:val="28"/>
          <w:lang w:val="uk-UA"/>
        </w:rPr>
        <w:t xml:space="preserve">        Стецівський навчально-виховний комплекс   </w:t>
      </w:r>
    </w:p>
    <w:p w:rsidR="009D1B8C" w:rsidRPr="00352A69" w:rsidRDefault="009D1B8C" w:rsidP="000B6659">
      <w:pPr>
        <w:spacing w:after="0" w:line="240" w:lineRule="auto"/>
        <w:ind w:left="2832" w:right="-850" w:firstLine="708"/>
        <w:rPr>
          <w:rFonts w:ascii="Times New Roman" w:hAnsi="Times New Roman"/>
          <w:sz w:val="28"/>
          <w:lang w:val="uk-UA"/>
        </w:rPr>
      </w:pPr>
      <w:r w:rsidRPr="00352A69">
        <w:rPr>
          <w:rFonts w:ascii="Times New Roman" w:hAnsi="Times New Roman"/>
          <w:sz w:val="28"/>
          <w:lang w:val="uk-UA"/>
        </w:rPr>
        <w:t xml:space="preserve">       «Загальноосвітній навчальний заклад І-ІІІ ступенів –  </w:t>
      </w:r>
    </w:p>
    <w:p w:rsidR="009D1B8C" w:rsidRPr="00352A69" w:rsidRDefault="009D1B8C" w:rsidP="000B6659">
      <w:pPr>
        <w:spacing w:after="0" w:line="240" w:lineRule="auto"/>
        <w:ind w:left="2832" w:right="-850" w:firstLine="708"/>
        <w:rPr>
          <w:rFonts w:ascii="Times New Roman" w:hAnsi="Times New Roman"/>
          <w:sz w:val="28"/>
          <w:lang w:val="uk-UA"/>
        </w:rPr>
      </w:pPr>
      <w:r w:rsidRPr="00352A69">
        <w:rPr>
          <w:rFonts w:ascii="Times New Roman" w:hAnsi="Times New Roman"/>
          <w:sz w:val="28"/>
          <w:lang w:val="uk-UA"/>
        </w:rPr>
        <w:t xml:space="preserve">        дошкільний навчальний заклад» - МАНМ </w:t>
      </w:r>
    </w:p>
    <w:p w:rsidR="009D1B8C" w:rsidRPr="00352A69" w:rsidRDefault="009D1B8C" w:rsidP="000B6659">
      <w:pPr>
        <w:spacing w:after="0" w:line="240" w:lineRule="auto"/>
        <w:ind w:left="2832" w:right="-850" w:firstLine="708"/>
        <w:rPr>
          <w:rFonts w:ascii="Times New Roman" w:hAnsi="Times New Roman"/>
          <w:sz w:val="24"/>
          <w:szCs w:val="24"/>
          <w:lang w:val="uk-UA"/>
        </w:rPr>
      </w:pPr>
      <w:r w:rsidRPr="00352A69">
        <w:rPr>
          <w:rFonts w:ascii="Times New Roman" w:hAnsi="Times New Roman"/>
          <w:sz w:val="28"/>
          <w:lang w:val="uk-UA"/>
        </w:rPr>
        <w:t xml:space="preserve">        Звенигородської районної ради Черкаської області</w:t>
      </w:r>
      <w:r w:rsidRPr="00352A69">
        <w:rPr>
          <w:rFonts w:ascii="Times New Roman" w:hAnsi="Times New Roman"/>
          <w:sz w:val="28"/>
          <w:lang w:val="uk-UA"/>
        </w:rPr>
        <w:tab/>
      </w:r>
      <w:r w:rsidRPr="00352A69">
        <w:rPr>
          <w:rFonts w:ascii="Times New Roman" w:hAnsi="Times New Roman"/>
          <w:sz w:val="28"/>
          <w:lang w:val="uk-UA"/>
        </w:rPr>
        <w:tab/>
        <w:t xml:space="preserve">         </w:t>
      </w:r>
    </w:p>
    <w:p w:rsidR="009D1B8C" w:rsidRPr="00352A69" w:rsidRDefault="009D1B8C" w:rsidP="00D314D5">
      <w:pPr>
        <w:spacing w:after="0" w:line="360" w:lineRule="auto"/>
        <w:ind w:right="-850"/>
        <w:jc w:val="center"/>
        <w:rPr>
          <w:rFonts w:ascii="Times New Roman" w:hAnsi="Times New Roman"/>
          <w:b/>
          <w:i/>
          <w:sz w:val="32"/>
          <w:szCs w:val="32"/>
          <w:lang w:val="uk-UA"/>
        </w:rPr>
      </w:pPr>
      <w:r w:rsidRPr="00352A69">
        <w:rPr>
          <w:rFonts w:ascii="Times New Roman" w:hAnsi="Times New Roman"/>
          <w:b/>
          <w:i/>
          <w:sz w:val="32"/>
          <w:szCs w:val="32"/>
          <w:lang w:val="uk-UA"/>
        </w:rPr>
        <w:t>Нетрадиційні форми роботи методичних об’єднань</w:t>
      </w:r>
    </w:p>
    <w:p w:rsidR="009D1B8C" w:rsidRPr="00352A69" w:rsidRDefault="009D1B8C" w:rsidP="00F15D62">
      <w:pPr>
        <w:spacing w:after="0" w:line="360" w:lineRule="auto"/>
        <w:ind w:right="-850"/>
        <w:jc w:val="center"/>
        <w:rPr>
          <w:rFonts w:ascii="Times New Roman" w:hAnsi="Times New Roman"/>
          <w:b/>
          <w:i/>
          <w:sz w:val="32"/>
          <w:szCs w:val="32"/>
          <w:lang w:val="uk-UA"/>
        </w:rPr>
      </w:pPr>
      <w:r w:rsidRPr="00352A69">
        <w:rPr>
          <w:rFonts w:ascii="Times New Roman" w:hAnsi="Times New Roman"/>
          <w:b/>
          <w:i/>
          <w:sz w:val="32"/>
          <w:szCs w:val="32"/>
          <w:lang w:val="uk-UA"/>
        </w:rPr>
        <w:t>учителів початкових класів</w:t>
      </w:r>
    </w:p>
    <w:p w:rsidR="009D1B8C" w:rsidRPr="00352A69" w:rsidRDefault="009D1B8C" w:rsidP="000B6659">
      <w:pPr>
        <w:spacing w:after="0" w:line="360" w:lineRule="auto"/>
        <w:ind w:right="-850" w:firstLine="708"/>
        <w:jc w:val="both"/>
        <w:rPr>
          <w:rFonts w:ascii="Times New Roman" w:hAnsi="Times New Roman"/>
          <w:sz w:val="28"/>
          <w:szCs w:val="28"/>
          <w:lang w:val="uk-UA"/>
        </w:rPr>
      </w:pPr>
      <w:r w:rsidRPr="00352A69">
        <w:rPr>
          <w:rFonts w:ascii="Times New Roman" w:hAnsi="Times New Roman"/>
          <w:sz w:val="28"/>
          <w:szCs w:val="28"/>
          <w:lang w:val="uk-UA"/>
        </w:rPr>
        <w:t>Якщо ви хочете, щоб педагогічна праця давала вчителю радість, щоб повсякденне проведення уроків не перетворилося на нудну, одноманітну повинність, ведіть кожного вчителя на щасливу стежку дослідження… Тут знахідки, відкриття, радощі  і прикрощі.</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xml:space="preserve">       </w:t>
      </w:r>
      <w:r w:rsidRPr="00352A69">
        <w:rPr>
          <w:rFonts w:ascii="Times New Roman" w:hAnsi="Times New Roman"/>
          <w:sz w:val="28"/>
          <w:szCs w:val="28"/>
          <w:lang w:val="uk-UA"/>
        </w:rPr>
        <w:tab/>
        <w:t xml:space="preserve">         </w:t>
      </w:r>
    </w:p>
    <w:p w:rsidR="009D1B8C" w:rsidRPr="00352A69" w:rsidRDefault="009D1B8C" w:rsidP="000B6659">
      <w:pPr>
        <w:spacing w:after="0" w:line="360" w:lineRule="auto"/>
        <w:ind w:right="-850" w:firstLine="708"/>
        <w:jc w:val="right"/>
        <w:rPr>
          <w:rFonts w:ascii="Times New Roman" w:hAnsi="Times New Roman"/>
          <w:sz w:val="28"/>
          <w:szCs w:val="28"/>
          <w:lang w:val="uk-UA"/>
        </w:rPr>
      </w:pPr>
      <w:r w:rsidRPr="00352A69">
        <w:rPr>
          <w:rFonts w:ascii="Times New Roman" w:hAnsi="Times New Roman"/>
          <w:sz w:val="28"/>
          <w:szCs w:val="28"/>
          <w:lang w:val="uk-UA"/>
        </w:rPr>
        <w:t xml:space="preserve">  В. Сухомлинський</w:t>
      </w:r>
    </w:p>
    <w:p w:rsidR="009D1B8C" w:rsidRPr="00352A69" w:rsidRDefault="009D1B8C" w:rsidP="000B6659">
      <w:pPr>
        <w:spacing w:after="0" w:line="360" w:lineRule="auto"/>
        <w:ind w:right="-850" w:firstLine="708"/>
        <w:jc w:val="both"/>
        <w:rPr>
          <w:rFonts w:ascii="Times New Roman" w:hAnsi="Times New Roman"/>
          <w:sz w:val="28"/>
          <w:szCs w:val="28"/>
          <w:lang w:val="uk-UA"/>
        </w:rPr>
      </w:pPr>
      <w:r w:rsidRPr="00352A69">
        <w:rPr>
          <w:rFonts w:ascii="Times New Roman" w:hAnsi="Times New Roman"/>
          <w:sz w:val="28"/>
          <w:szCs w:val="28"/>
          <w:lang w:val="uk-UA"/>
        </w:rPr>
        <w:t>Методичне об’єднання вчителів як домінуюча форма науково-методичної роботи в початковій школі значною мірою здатне реалізувати нову філософію освіти, мета якої – розвиток внутрішніх можливостей особистості, її потреб, мотивів, цінностей, надання перспектив для самореалізації. У статті 56 Закону України « Про освіту» зазначається, що одним з обов’язків учителів є постійне підвищення професійного рівня, педагогічної майстерності, загальної культури. [4, 32]</w:t>
      </w:r>
    </w:p>
    <w:p w:rsidR="009D1B8C" w:rsidRPr="00352A69" w:rsidRDefault="009D1B8C" w:rsidP="000B6659">
      <w:pPr>
        <w:spacing w:after="0" w:line="360" w:lineRule="auto"/>
        <w:ind w:right="-850" w:firstLine="708"/>
        <w:jc w:val="both"/>
        <w:rPr>
          <w:rFonts w:ascii="Times New Roman" w:hAnsi="Times New Roman"/>
          <w:sz w:val="28"/>
          <w:szCs w:val="28"/>
          <w:lang w:val="uk-UA"/>
        </w:rPr>
      </w:pPr>
      <w:r w:rsidRPr="00352A69">
        <w:rPr>
          <w:rFonts w:ascii="Times New Roman" w:hAnsi="Times New Roman"/>
          <w:sz w:val="28"/>
          <w:szCs w:val="28"/>
          <w:lang w:val="uk-UA"/>
        </w:rPr>
        <w:t>Організація діяльності методичних об’єднань учителів початкової школи здійснюється за допомогою традиційних і нетрадиційних форм  методичної роботи. Нетрадиційні форми методичної роботи  сприяють залученню педагогів до пошукової роботи; розвивають уміння спілкуватися з колегами, учнями, батьками, різними соціальними інститутами; запобігають конфліктам у педагогічних колективах; спрямовані на максимальну активізацію практичної діяльності учителів і характеризуються динамічністю та активною творчістю; мають інноваційний характер, у процесі їх використання впроваджуються інтерактивні методики.</w:t>
      </w:r>
    </w:p>
    <w:p w:rsidR="009D1B8C" w:rsidRPr="00352A69" w:rsidRDefault="009D1B8C" w:rsidP="000B6659">
      <w:pPr>
        <w:spacing w:after="0" w:line="360" w:lineRule="auto"/>
        <w:ind w:right="-850" w:firstLine="708"/>
        <w:jc w:val="both"/>
        <w:rPr>
          <w:rFonts w:ascii="Times New Roman" w:hAnsi="Times New Roman"/>
          <w:sz w:val="28"/>
          <w:szCs w:val="28"/>
          <w:lang w:val="uk-UA"/>
        </w:rPr>
      </w:pPr>
      <w:r w:rsidRPr="00352A69">
        <w:rPr>
          <w:rFonts w:ascii="Times New Roman" w:hAnsi="Times New Roman"/>
          <w:sz w:val="28"/>
          <w:szCs w:val="28"/>
          <w:lang w:val="uk-UA"/>
        </w:rPr>
        <w:t>У роботі методичних об’єднань вчителів початкових класів для досягнення основних цілей діяльності , які визначила О. Полєвікова ( надати допомогу педагогові у вирішенні актуальних проблем у НВП, стимулювати пошук методичних інновацій, сприяти активізації людського фактору, підвищувати мотивацію вчителя, використовувати творчий потенціал вчителя тощо ) [4, с. 11-12]  необхідно використовувати такі нетрадиційні форми :</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Педагогічні дебати</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Педагогічна олімпіада</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Педагогічні дискусії</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Педагогічна майстерня</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Педагогічні ігри ( дидактичні, ділові )</w:t>
      </w:r>
      <w:r w:rsidRPr="00352A69">
        <w:rPr>
          <w:rFonts w:ascii="Times New Roman" w:hAnsi="Times New Roman"/>
          <w:sz w:val="28"/>
          <w:szCs w:val="28"/>
          <w:lang w:val="uk-UA"/>
        </w:rPr>
        <w:tab/>
      </w:r>
      <w:r w:rsidRPr="00352A69">
        <w:rPr>
          <w:rFonts w:ascii="Times New Roman" w:hAnsi="Times New Roman"/>
          <w:sz w:val="28"/>
          <w:szCs w:val="28"/>
          <w:lang w:val="uk-UA"/>
        </w:rPr>
        <w:tab/>
        <w:t xml:space="preserve">- Місячник педагогічної               </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Ігрове конструювання</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xml:space="preserve">  майстерності</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Моделювання педагогічних ситуацій</w:t>
      </w:r>
      <w:r w:rsidRPr="00352A69">
        <w:rPr>
          <w:rFonts w:ascii="Times New Roman" w:hAnsi="Times New Roman"/>
          <w:sz w:val="28"/>
          <w:szCs w:val="28"/>
          <w:lang w:val="uk-UA"/>
        </w:rPr>
        <w:tab/>
      </w:r>
      <w:r w:rsidRPr="00352A69">
        <w:rPr>
          <w:rFonts w:ascii="Times New Roman" w:hAnsi="Times New Roman"/>
          <w:sz w:val="28"/>
          <w:szCs w:val="28"/>
          <w:lang w:val="uk-UA"/>
        </w:rPr>
        <w:tab/>
        <w:t>- Захисти інноваційних проектів</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Методичний міст</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xml:space="preserve">- Майстер - класи </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Методичні турніри</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Круглий стіл</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Методичний ринг</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Психологічний тренінг</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Методична естафета</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Психологічний брейнстормінг</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Методичний калейдоскоп</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Салон творчого спілкування</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Педагогічний КВК</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Колаж</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Методична мозаїка</w:t>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r>
      <w:r w:rsidRPr="00352A69">
        <w:rPr>
          <w:rFonts w:ascii="Times New Roman" w:hAnsi="Times New Roman"/>
          <w:sz w:val="28"/>
          <w:szCs w:val="28"/>
          <w:lang w:val="uk-UA"/>
        </w:rPr>
        <w:tab/>
        <w:t>- Мозковий штурм</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Ярмарка авторських підручників, методичних рекомендацій</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Аукціон методичних розробок ( ідей )</w:t>
      </w:r>
    </w:p>
    <w:p w:rsidR="009D1B8C" w:rsidRPr="00352A69" w:rsidRDefault="009D1B8C" w:rsidP="000B6659">
      <w:pPr>
        <w:pStyle w:val="ListParagraph"/>
        <w:numPr>
          <w:ilvl w:val="0"/>
          <w:numId w:val="1"/>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xml:space="preserve">Конкурсні виставки методичних розробок ( уроків, виховних заходів ) </w:t>
      </w:r>
      <w:r w:rsidRPr="00352A69">
        <w:rPr>
          <w:rFonts w:ascii="Times New Roman" w:hAnsi="Times New Roman"/>
          <w:sz w:val="28"/>
          <w:szCs w:val="28"/>
        </w:rPr>
        <w:t>[1</w:t>
      </w:r>
      <w:r w:rsidRPr="00352A69">
        <w:rPr>
          <w:rFonts w:ascii="Times New Roman" w:hAnsi="Times New Roman"/>
          <w:sz w:val="28"/>
          <w:szCs w:val="28"/>
          <w:lang w:val="uk-UA"/>
        </w:rPr>
        <w:t>,</w:t>
      </w:r>
      <w:r w:rsidRPr="00352A69">
        <w:rPr>
          <w:rFonts w:ascii="Times New Roman" w:hAnsi="Times New Roman"/>
          <w:sz w:val="28"/>
          <w:szCs w:val="28"/>
        </w:rPr>
        <w:t xml:space="preserve"> 4]</w:t>
      </w:r>
    </w:p>
    <w:p w:rsidR="009D1B8C" w:rsidRPr="00352A69" w:rsidRDefault="009D1B8C" w:rsidP="000B6659">
      <w:pPr>
        <w:spacing w:after="0" w:line="360" w:lineRule="auto"/>
        <w:ind w:right="-850" w:firstLine="708"/>
        <w:jc w:val="both"/>
        <w:rPr>
          <w:rFonts w:ascii="Times New Roman" w:hAnsi="Times New Roman"/>
          <w:sz w:val="28"/>
          <w:szCs w:val="28"/>
          <w:lang w:val="uk-UA"/>
        </w:rPr>
      </w:pPr>
      <w:r w:rsidRPr="00352A69">
        <w:rPr>
          <w:rFonts w:ascii="Times New Roman" w:hAnsi="Times New Roman"/>
          <w:b/>
          <w:i/>
          <w:sz w:val="28"/>
          <w:szCs w:val="28"/>
          <w:lang w:val="uk-UA"/>
        </w:rPr>
        <w:t>Педагогічні дебати</w:t>
      </w:r>
      <w:r w:rsidRPr="00352A69">
        <w:rPr>
          <w:rFonts w:ascii="Times New Roman" w:hAnsi="Times New Roman"/>
          <w:sz w:val="28"/>
          <w:szCs w:val="28"/>
          <w:lang w:val="uk-UA"/>
        </w:rPr>
        <w:t xml:space="preserve"> – це форма методичної роботи, під час якої обговорюється питання психолого-педагогічного змісту, здійснюється обмін думками. Педагогічні дебати використовуються для прийняття і відстоювання своїх рішень. Вони вчать критично мислити, шукати аргументи та переконливо викладати свої погляди колегам. Основна мета дебатів – переконати нейтральну сторону в тому, що аргументи однієї групи кращі, ніж в опонентів. Обираючи тему дебатів, треба пам</w:t>
      </w:r>
      <w:r w:rsidRPr="00352A69">
        <w:rPr>
          <w:rFonts w:ascii="Times New Roman" w:hAnsi="Times New Roman"/>
          <w:sz w:val="28"/>
          <w:szCs w:val="28"/>
        </w:rPr>
        <w:t>’</w:t>
      </w:r>
      <w:r w:rsidRPr="00352A69">
        <w:rPr>
          <w:rFonts w:ascii="Times New Roman" w:hAnsi="Times New Roman"/>
          <w:sz w:val="28"/>
          <w:szCs w:val="28"/>
          <w:lang w:val="uk-UA"/>
        </w:rPr>
        <w:t xml:space="preserve">ятати, що вона має бути суперечливою, викликати зацікавленість, піддаватися дослідженню. Наприклад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xml:space="preserve">« Покарання дітей у родині : це виховний процес чи порушення прав дитини?» ,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Створення спеціальних класів і спеціалізованих шкіл для обдарованих дітей : добре чи погано?»</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i/>
          <w:sz w:val="28"/>
          <w:szCs w:val="28"/>
          <w:lang w:val="uk-UA"/>
        </w:rPr>
        <w:tab/>
      </w:r>
      <w:r w:rsidRPr="00352A69">
        <w:rPr>
          <w:rFonts w:ascii="Times New Roman" w:hAnsi="Times New Roman"/>
          <w:b/>
          <w:i/>
          <w:sz w:val="28"/>
          <w:szCs w:val="28"/>
          <w:lang w:val="uk-UA"/>
        </w:rPr>
        <w:t>Педагогічна дискусія</w:t>
      </w:r>
      <w:r w:rsidRPr="00352A69">
        <w:rPr>
          <w:rFonts w:ascii="Times New Roman" w:hAnsi="Times New Roman"/>
          <w:sz w:val="28"/>
          <w:szCs w:val="28"/>
          <w:lang w:val="uk-UA"/>
        </w:rPr>
        <w:t xml:space="preserve"> – це форма роботи, під час якої здійснюється колективне обговорення спірного питання, обмін думками, ідеями між кількома членами методичного об’єднання. Мета педагогічної дискусії – виявити відмінності в розумінні психолого- педагогічної проблеми і в товариській суперечці встановити істину, дійти спільної точки зору. Завдання педагогічної дискусії такі : поглибити знання вчителів із тем, що розглядаються; виявити проблемні питання; розвивати вміння аргументовано відстоювати свою точку зору, уважно й зважено вислуховувати думку опонентів; формувати й розвивати культуру обговорення спірних питань. Головне в педагогічній дискусії – підбір вагомих аргументів ( статистичні дані, посилання на визнаних авторитетів у галузі педагогіки і психології, власний досвід, експериментальні висновки тощо ), фактів, логіка і доказовість.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ab/>
      </w:r>
      <w:r w:rsidRPr="00352A69">
        <w:rPr>
          <w:rFonts w:ascii="Times New Roman" w:hAnsi="Times New Roman"/>
          <w:b/>
          <w:i/>
          <w:sz w:val="28"/>
          <w:szCs w:val="28"/>
          <w:lang w:val="uk-UA"/>
        </w:rPr>
        <w:t>Ділова гра</w:t>
      </w:r>
      <w:r w:rsidRPr="00352A69">
        <w:rPr>
          <w:rFonts w:ascii="Times New Roman" w:hAnsi="Times New Roman"/>
          <w:sz w:val="28"/>
          <w:szCs w:val="28"/>
          <w:lang w:val="uk-UA"/>
        </w:rPr>
        <w:t xml:space="preserve"> – це форма роботи, яка навчає педагогів шляхом моделювання близьких до реальних умов ситуацій у професійній діяльності, з обов’язковим динамічним розвитком ситуації, задачі чи проблеми. У діловій грі відбувається зіткнення думок і позицій, обґрунтування і критика гіпотез , що сприяє набуттю досвіду, аналізу психолого-педагогічних ситуацій та розв’язанню професійних завдань. Підготовка до ділової гри складається з таких етапів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1) вибір теми гри ( психолого-педагогічна ситуація ); 2) визначення призначення   гри</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xml:space="preserve"> ( навчальна, дослідницька чи проектувальна ); 3) визначення обсягу знань, необхідного учасникам гри; 4) розподіл ролей між учасниками з урахуванням їхніх знань і здібностей; 5) створення переліку рішень для ухвалення учасниками;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xml:space="preserve">6) деталізація сценарію ( послідовність етапів гри, підготовка ведучого ); </w:t>
      </w:r>
    </w:p>
    <w:p w:rsidR="009D1B8C" w:rsidRPr="00352A69" w:rsidRDefault="009D1B8C" w:rsidP="000B6659">
      <w:p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7) формулювання правил, розподіл рішень між учасниками;  8) розробка системи заохочень;  9) проведення гри; 10) підбиття підсумків. Для ефективності проведення гри необхідно від 2 до 4 годин, оптимальна кількість завдань ( питань ) – 2 - 4.</w:t>
      </w:r>
    </w:p>
    <w:p w:rsidR="009D1B8C" w:rsidRPr="00352A69" w:rsidRDefault="009D1B8C" w:rsidP="000B6659">
      <w:pPr>
        <w:spacing w:after="0" w:line="360" w:lineRule="auto"/>
        <w:ind w:left="360" w:right="-850" w:firstLine="348"/>
        <w:jc w:val="both"/>
        <w:rPr>
          <w:rFonts w:ascii="Times New Roman" w:hAnsi="Times New Roman"/>
          <w:sz w:val="28"/>
          <w:szCs w:val="28"/>
          <w:lang w:val="uk-UA"/>
        </w:rPr>
      </w:pPr>
      <w:r w:rsidRPr="00352A69">
        <w:rPr>
          <w:rFonts w:ascii="Times New Roman" w:hAnsi="Times New Roman"/>
          <w:b/>
          <w:i/>
          <w:sz w:val="28"/>
          <w:szCs w:val="28"/>
          <w:lang w:val="uk-UA"/>
        </w:rPr>
        <w:t>Методичний турнір</w:t>
      </w:r>
      <w:r w:rsidRPr="00352A69">
        <w:rPr>
          <w:rFonts w:ascii="Times New Roman" w:hAnsi="Times New Roman"/>
          <w:sz w:val="28"/>
          <w:szCs w:val="28"/>
          <w:lang w:val="uk-UA"/>
        </w:rPr>
        <w:t xml:space="preserve"> – це форма роботи, спрямована на пошук, розвиток і      підтримку педагогічного досвіду або нових ідей, способів вирішення актуальних проблем психолого-педагогічного характеру. Підготовку до проведення турніру варто розпочинати за два місяці з добору завдань. Необхідно сформувати команди у складі не менше 4 осіб та повідомити зміст завдань. Команди повинні визначити доповідача та співдоповідачів із кожного завдання. Крім того, необхідно обрати журі з числа компетентних учителів-методистів та ведучого, який водночас є членом журі. Також створюється лічильна група для підрахунку балів та визначення рейтингу команд і окремих учасників. Методичний турнір рекомендується проводити як захист методичних ідей в три етапи : чвертьфінал, півфінал, фінал. Жеребкуванням визначається функціональна роль кожного з учасників команди : доповідач, опонент чи рецензент. Для висвітлення свого  варіанту розв</w:t>
      </w:r>
      <w:r w:rsidRPr="00352A69">
        <w:rPr>
          <w:rFonts w:ascii="Times New Roman" w:hAnsi="Times New Roman"/>
          <w:sz w:val="28"/>
          <w:szCs w:val="28"/>
        </w:rPr>
        <w:t>’</w:t>
      </w:r>
      <w:r w:rsidRPr="00352A69">
        <w:rPr>
          <w:rFonts w:ascii="Times New Roman" w:hAnsi="Times New Roman"/>
          <w:sz w:val="28"/>
          <w:szCs w:val="28"/>
          <w:lang w:val="uk-UA"/>
        </w:rPr>
        <w:t>язання завдання команді-доповідачу надається до 7 хв. Команда-опонент може поставити доповідачу запитання ( до 3 хв). Після цього у своєму виступі тривалістю до 5 хв опонент аналізує запропоноване розв’язання, відзначає сильні сторони доповіді й найсуттєвіші недоліки. Після його виступу проводиться дискусія між командами. Рецензент має право поставити доповідачу й опоненту запитання ( до 3 хв ) і дати оцінку обговорення проблеми. Протягом однієї зустрічі розв</w:t>
      </w:r>
      <w:r w:rsidRPr="00352A69">
        <w:rPr>
          <w:rFonts w:ascii="Times New Roman" w:hAnsi="Times New Roman"/>
          <w:sz w:val="28"/>
          <w:szCs w:val="28"/>
        </w:rPr>
        <w:t>’</w:t>
      </w:r>
      <w:r w:rsidRPr="00352A69">
        <w:rPr>
          <w:rFonts w:ascii="Times New Roman" w:hAnsi="Times New Roman"/>
          <w:sz w:val="28"/>
          <w:szCs w:val="28"/>
          <w:lang w:val="uk-UA"/>
        </w:rPr>
        <w:t xml:space="preserve">язується три завдання, перелік яких визначається жеребкуванням. Кожна команда має можливість виступити в різних ролях. Журі оцінює роботу команд за трьохбальною шкалою. При цьому середній бал доповідача збільшується втричі, опонента – вдвічі. Перемагає та команда, яка за підсумками всіх етапів набрала найбільшу кількість балів. </w:t>
      </w:r>
      <w:r w:rsidRPr="00352A69">
        <w:rPr>
          <w:rFonts w:ascii="Times New Roman" w:hAnsi="Times New Roman"/>
          <w:sz w:val="28"/>
          <w:szCs w:val="28"/>
        </w:rPr>
        <w:t>[1</w:t>
      </w:r>
      <w:r w:rsidRPr="00352A69">
        <w:rPr>
          <w:rFonts w:ascii="Times New Roman" w:hAnsi="Times New Roman"/>
          <w:sz w:val="28"/>
          <w:szCs w:val="28"/>
          <w:lang w:val="uk-UA"/>
        </w:rPr>
        <w:t>,</w:t>
      </w:r>
      <w:r w:rsidRPr="00352A69">
        <w:rPr>
          <w:rFonts w:ascii="Times New Roman" w:hAnsi="Times New Roman"/>
          <w:sz w:val="28"/>
          <w:szCs w:val="28"/>
        </w:rPr>
        <w:t xml:space="preserve"> 6]</w:t>
      </w:r>
    </w:p>
    <w:p w:rsidR="009D1B8C" w:rsidRPr="00352A69" w:rsidRDefault="009D1B8C" w:rsidP="000B6659">
      <w:pPr>
        <w:spacing w:after="0" w:line="360" w:lineRule="auto"/>
        <w:ind w:left="360" w:right="-850"/>
        <w:jc w:val="both"/>
        <w:rPr>
          <w:rFonts w:ascii="Times New Roman" w:hAnsi="Times New Roman"/>
          <w:sz w:val="28"/>
          <w:szCs w:val="28"/>
          <w:lang w:val="uk-UA"/>
        </w:rPr>
      </w:pPr>
      <w:r w:rsidRPr="00352A69">
        <w:rPr>
          <w:rFonts w:ascii="Times New Roman" w:hAnsi="Times New Roman"/>
          <w:b/>
          <w:i/>
          <w:sz w:val="28"/>
          <w:szCs w:val="28"/>
          <w:lang w:val="uk-UA"/>
        </w:rPr>
        <w:tab/>
        <w:t>Методичний аукціон</w:t>
      </w:r>
      <w:r w:rsidRPr="00352A69">
        <w:rPr>
          <w:rFonts w:ascii="Times New Roman" w:hAnsi="Times New Roman"/>
          <w:sz w:val="28"/>
          <w:szCs w:val="28"/>
          <w:lang w:val="uk-UA"/>
        </w:rPr>
        <w:t xml:space="preserve"> – це форма роботи, яка полягає у творчому «продажу-купівлі» певних педагогічних  ідей, думок, винаходів. Проводиться з метою пошуку ефективних прийомів, творчих підходів до вирішення проблем навчально-виховного процесу початкової школи. Мета аукціону – розширення і поглиблення знань учителів із конкретної методичної  теми, удосконалення професійної майстерності, ознайомлення з перспективним педагогічним досвідом. На методичному аукціоні  «продаються» і «купуються» творчі ідеї педагогів, досвід роботи з певною проблемою, розробки уроків ( виховних заходів ), інноваційні знахідки тощо. «Купує» той, хто обґрунтовано і професійно доведе доцільність упровадження тієї чи іншої запропонованої ідеї в навчально-виховний процес та передбачають її результативність. Для проведення аукціону необхідно : 1) обрати «акціонерне товариство»; 2) визначити ведучого з членів «товариства»; 3) дібрати завдання учасникам; 4) підготувати трибуну, гонг, дерев</w:t>
      </w:r>
      <w:r w:rsidRPr="00352A69">
        <w:rPr>
          <w:rFonts w:ascii="Times New Roman" w:hAnsi="Times New Roman"/>
          <w:sz w:val="28"/>
          <w:szCs w:val="28"/>
        </w:rPr>
        <w:t>’</w:t>
      </w:r>
      <w:r w:rsidRPr="00352A69">
        <w:rPr>
          <w:rFonts w:ascii="Times New Roman" w:hAnsi="Times New Roman"/>
          <w:sz w:val="28"/>
          <w:szCs w:val="28"/>
          <w:lang w:val="uk-UA"/>
        </w:rPr>
        <w:t xml:space="preserve">яний молоток, таблицю з порядковими номерами для учасників, картки, призи переможцям. «Акціонерне товариство» збирає запропоновані творчі ідеї, розробки, готує питання, визначає учасників аукціону, час, місце його проведення, розробляє умови та правила. За тиждень до проведення знайомить учасників аукціону з ідеями, які «продаватимуться». Перед початком аукціону вчителі «купують» таблички з номерами, які надають їм право брати участь у «торгах». «Купити» табличку можна правильно відповівши на запитання стосовно певної педагогічної проблеми. Ведучий оголошує до продажу ідею чи розробку уроку. Після кожної аргументованої відповіді рахує до трьох. Якщо до удару гонгу ніхто з гравців не дає відповідь, ідея вважається «продана». «Акціонерне товариство» картками оцінює відповіді та відображає їх на табло. Учасник, який отримав найбільше балів, оголошується переможцем і нагороджується призом. </w:t>
      </w:r>
    </w:p>
    <w:p w:rsidR="009D1B8C" w:rsidRPr="00352A69" w:rsidRDefault="009D1B8C" w:rsidP="000B6659">
      <w:pPr>
        <w:spacing w:after="0" w:line="360" w:lineRule="auto"/>
        <w:ind w:left="360" w:right="-850"/>
        <w:jc w:val="both"/>
        <w:rPr>
          <w:rFonts w:ascii="Times New Roman" w:hAnsi="Times New Roman"/>
          <w:sz w:val="28"/>
          <w:szCs w:val="28"/>
          <w:lang w:val="uk-UA"/>
        </w:rPr>
      </w:pPr>
      <w:r w:rsidRPr="00352A69">
        <w:rPr>
          <w:rFonts w:ascii="Times New Roman" w:hAnsi="Times New Roman"/>
          <w:b/>
          <w:i/>
          <w:sz w:val="28"/>
          <w:szCs w:val="28"/>
          <w:lang w:val="uk-UA"/>
        </w:rPr>
        <w:tab/>
        <w:t>Мозковий штурм</w:t>
      </w:r>
      <w:r w:rsidRPr="00352A69">
        <w:rPr>
          <w:rFonts w:ascii="Times New Roman" w:hAnsi="Times New Roman"/>
          <w:sz w:val="28"/>
          <w:szCs w:val="28"/>
          <w:lang w:val="uk-UA"/>
        </w:rPr>
        <w:t xml:space="preserve"> – це форма роботи, яка починається з того, що всім пропонують поділитися ідеями, які спали на думку з приводу обговорюваної проблеми. Один із головних принципів мозкового штурму – свобода думки, метод мозкової атаки, припускає, що кожна людина має творчі здібності, але певні внутрішні та зовнішні чинники не дають їй змоги повною мірою використовувати свій творчий потенціал. У процесі мозкового штурму всі обмеження усуваються, і потенціал може бути використаний повністю. На першій стадії не має бути ні зауважень, ні критики. Правила мозкового штурму :1) кожен може вільно висловлювати пропозиції; 2) учасники висловлюються по черзі, точно й стисло; </w:t>
      </w:r>
    </w:p>
    <w:p w:rsidR="009D1B8C" w:rsidRPr="00352A69" w:rsidRDefault="009D1B8C" w:rsidP="000B6659">
      <w:pPr>
        <w:pStyle w:val="ListParagraph"/>
        <w:numPr>
          <w:ilvl w:val="0"/>
          <w:numId w:val="3"/>
        </w:numPr>
        <w:spacing w:after="0" w:line="360" w:lineRule="auto"/>
        <w:ind w:right="-850"/>
        <w:jc w:val="both"/>
        <w:rPr>
          <w:rFonts w:ascii="Times New Roman" w:hAnsi="Times New Roman"/>
          <w:sz w:val="28"/>
          <w:szCs w:val="28"/>
          <w:lang w:val="uk-UA"/>
        </w:rPr>
      </w:pPr>
      <w:r w:rsidRPr="00352A69">
        <w:rPr>
          <w:rFonts w:ascii="Times New Roman" w:hAnsi="Times New Roman"/>
          <w:sz w:val="28"/>
          <w:szCs w:val="28"/>
          <w:lang w:val="uk-UA"/>
        </w:rPr>
        <w:t xml:space="preserve">будь-які пропозиції приймають і схвалюють учасники; 4) ведучий записує всі пропозиції; 5) не можна критикувати й коментувати пропозиції; 6) можна розвивати попередні ідеї. </w:t>
      </w:r>
      <w:r w:rsidRPr="00352A69">
        <w:rPr>
          <w:rFonts w:ascii="Times New Roman" w:hAnsi="Times New Roman"/>
          <w:sz w:val="28"/>
          <w:szCs w:val="28"/>
          <w:lang w:val="en-US"/>
        </w:rPr>
        <w:t>[</w:t>
      </w:r>
      <w:r w:rsidRPr="00352A69">
        <w:rPr>
          <w:rFonts w:ascii="Times New Roman" w:hAnsi="Times New Roman"/>
          <w:sz w:val="28"/>
          <w:szCs w:val="28"/>
          <w:lang w:val="uk-UA"/>
        </w:rPr>
        <w:t>2,</w:t>
      </w:r>
      <w:r w:rsidRPr="00352A69">
        <w:rPr>
          <w:rFonts w:ascii="Times New Roman" w:hAnsi="Times New Roman"/>
          <w:sz w:val="28"/>
          <w:szCs w:val="28"/>
          <w:lang w:val="en-US"/>
        </w:rPr>
        <w:t xml:space="preserve"> 4]</w:t>
      </w:r>
    </w:p>
    <w:p w:rsidR="009D1B8C" w:rsidRPr="00352A69" w:rsidRDefault="009D1B8C" w:rsidP="000B6659">
      <w:pPr>
        <w:spacing w:after="0" w:line="360" w:lineRule="auto"/>
        <w:ind w:right="-850" w:firstLine="360"/>
        <w:jc w:val="both"/>
        <w:rPr>
          <w:rFonts w:ascii="Times New Roman" w:hAnsi="Times New Roman"/>
          <w:sz w:val="28"/>
          <w:szCs w:val="28"/>
          <w:lang w:val="uk-UA"/>
        </w:rPr>
      </w:pPr>
      <w:r w:rsidRPr="00352A69">
        <w:rPr>
          <w:rFonts w:ascii="Times New Roman" w:hAnsi="Times New Roman"/>
          <w:sz w:val="28"/>
          <w:szCs w:val="28"/>
          <w:lang w:val="uk-UA"/>
        </w:rPr>
        <w:t xml:space="preserve">Таким чином, ефективність роботи методичного об’єднання вчителів початкової школи зростає, якщо поряд із традиційними формами методичної роботи використовувати і нетрадиційні, що спрямовані на максимальну активізацію практичної діяльності педагогів і характеризуються динамічністю та творчістю. </w:t>
      </w:r>
    </w:p>
    <w:p w:rsidR="009D1B8C" w:rsidRPr="00352A69" w:rsidRDefault="009D1B8C" w:rsidP="000B6659">
      <w:pPr>
        <w:spacing w:after="0" w:line="240" w:lineRule="auto"/>
        <w:ind w:right="-850" w:firstLine="360"/>
        <w:jc w:val="center"/>
        <w:rPr>
          <w:rFonts w:ascii="Times New Roman" w:hAnsi="Times New Roman"/>
          <w:sz w:val="28"/>
          <w:szCs w:val="28"/>
          <w:lang w:val="uk-UA"/>
        </w:rPr>
      </w:pPr>
      <w:r w:rsidRPr="00352A69">
        <w:rPr>
          <w:rFonts w:ascii="Times New Roman" w:hAnsi="Times New Roman"/>
          <w:sz w:val="28"/>
          <w:szCs w:val="28"/>
          <w:lang w:val="uk-UA"/>
        </w:rPr>
        <w:t>Список літератури</w:t>
      </w:r>
    </w:p>
    <w:p w:rsidR="009D1B8C" w:rsidRPr="00352A69" w:rsidRDefault="009D1B8C" w:rsidP="000B6659">
      <w:pPr>
        <w:pStyle w:val="ListParagraph"/>
        <w:numPr>
          <w:ilvl w:val="0"/>
          <w:numId w:val="4"/>
        </w:numPr>
        <w:spacing w:after="0" w:line="240" w:lineRule="auto"/>
        <w:ind w:right="-850"/>
        <w:rPr>
          <w:rFonts w:ascii="Times New Roman" w:hAnsi="Times New Roman"/>
          <w:sz w:val="24"/>
          <w:szCs w:val="24"/>
          <w:lang w:val="uk-UA"/>
        </w:rPr>
      </w:pPr>
      <w:r w:rsidRPr="00352A69">
        <w:rPr>
          <w:rFonts w:ascii="Times New Roman" w:hAnsi="Times New Roman"/>
          <w:sz w:val="24"/>
          <w:szCs w:val="24"/>
          <w:lang w:val="uk-UA"/>
        </w:rPr>
        <w:t>Г. Бондаренко. Нетрад. форми роботи метод. об</w:t>
      </w:r>
      <w:r w:rsidRPr="00352A69">
        <w:rPr>
          <w:rFonts w:ascii="Times New Roman" w:hAnsi="Times New Roman"/>
          <w:sz w:val="24"/>
          <w:szCs w:val="24"/>
        </w:rPr>
        <w:t>’</w:t>
      </w:r>
      <w:r w:rsidRPr="00352A69">
        <w:rPr>
          <w:rFonts w:ascii="Times New Roman" w:hAnsi="Times New Roman"/>
          <w:sz w:val="24"/>
          <w:szCs w:val="24"/>
          <w:lang w:val="uk-UA"/>
        </w:rPr>
        <w:t xml:space="preserve">єднань учителів поч. школи </w:t>
      </w:r>
    </w:p>
    <w:p w:rsidR="009D1B8C" w:rsidRPr="00352A69" w:rsidRDefault="009D1B8C" w:rsidP="000B6659">
      <w:pPr>
        <w:pStyle w:val="ListParagraph"/>
        <w:spacing w:after="0" w:line="240" w:lineRule="auto"/>
        <w:ind w:right="-850"/>
        <w:rPr>
          <w:rFonts w:ascii="Times New Roman" w:hAnsi="Times New Roman"/>
          <w:sz w:val="24"/>
          <w:szCs w:val="24"/>
          <w:lang w:val="uk-UA"/>
        </w:rPr>
      </w:pPr>
      <w:r w:rsidRPr="00352A69">
        <w:rPr>
          <w:rFonts w:ascii="Times New Roman" w:hAnsi="Times New Roman"/>
          <w:sz w:val="24"/>
          <w:szCs w:val="24"/>
          <w:lang w:val="uk-UA"/>
        </w:rPr>
        <w:t>// Початкова освіта. – 2013. – С. 3 -7.</w:t>
      </w:r>
    </w:p>
    <w:p w:rsidR="009D1B8C" w:rsidRPr="00352A69" w:rsidRDefault="009D1B8C" w:rsidP="000B6659">
      <w:pPr>
        <w:pStyle w:val="ListParagraph"/>
        <w:numPr>
          <w:ilvl w:val="0"/>
          <w:numId w:val="4"/>
        </w:numPr>
        <w:spacing w:after="0" w:line="240" w:lineRule="auto"/>
        <w:ind w:right="-850"/>
        <w:rPr>
          <w:rFonts w:ascii="Times New Roman" w:hAnsi="Times New Roman"/>
          <w:sz w:val="24"/>
          <w:szCs w:val="24"/>
          <w:lang w:val="uk-UA"/>
        </w:rPr>
      </w:pPr>
      <w:r w:rsidRPr="00352A69">
        <w:rPr>
          <w:rFonts w:ascii="Times New Roman" w:hAnsi="Times New Roman"/>
          <w:sz w:val="24"/>
          <w:szCs w:val="24"/>
          <w:lang w:val="uk-UA"/>
        </w:rPr>
        <w:t xml:space="preserve"> В.Бєльська, З.Колодій. Нетрад. форми метод. роботи // Завуч. - 2012. - С.1–10.</w:t>
      </w:r>
    </w:p>
    <w:p w:rsidR="009D1B8C" w:rsidRPr="00352A69" w:rsidRDefault="009D1B8C" w:rsidP="000B6659">
      <w:pPr>
        <w:pStyle w:val="ListParagraph"/>
        <w:numPr>
          <w:ilvl w:val="0"/>
          <w:numId w:val="4"/>
        </w:numPr>
        <w:spacing w:after="0" w:line="240" w:lineRule="auto"/>
        <w:ind w:right="-850"/>
        <w:rPr>
          <w:rFonts w:ascii="Times New Roman" w:hAnsi="Times New Roman"/>
          <w:sz w:val="24"/>
          <w:szCs w:val="24"/>
          <w:lang w:val="uk-UA"/>
        </w:rPr>
      </w:pPr>
      <w:r w:rsidRPr="00352A69">
        <w:rPr>
          <w:rFonts w:ascii="Times New Roman" w:hAnsi="Times New Roman"/>
          <w:sz w:val="24"/>
          <w:szCs w:val="24"/>
          <w:lang w:val="uk-UA"/>
        </w:rPr>
        <w:t>Освіта України. Нормативно-правові документи. К.: Міленіум, 2001. – 472 с.</w:t>
      </w:r>
    </w:p>
    <w:p w:rsidR="009D1B8C" w:rsidRPr="00352A69" w:rsidRDefault="009D1B8C" w:rsidP="000B6659">
      <w:pPr>
        <w:pStyle w:val="ListParagraph"/>
        <w:numPr>
          <w:ilvl w:val="0"/>
          <w:numId w:val="4"/>
        </w:numPr>
        <w:spacing w:after="0" w:line="240" w:lineRule="auto"/>
        <w:ind w:right="-850"/>
        <w:rPr>
          <w:rFonts w:ascii="Times New Roman" w:hAnsi="Times New Roman"/>
          <w:sz w:val="24"/>
          <w:szCs w:val="24"/>
          <w:lang w:val="uk-UA"/>
        </w:rPr>
      </w:pPr>
      <w:r w:rsidRPr="00352A69">
        <w:rPr>
          <w:rFonts w:ascii="Times New Roman" w:hAnsi="Times New Roman"/>
          <w:sz w:val="24"/>
          <w:szCs w:val="24"/>
          <w:lang w:val="uk-UA"/>
        </w:rPr>
        <w:t>Метод. робота вчителя почат. класів / Упоряд. О.Б. Полєвікова. – Х.: Основа, 2012. – 350 с.</w:t>
      </w:r>
    </w:p>
    <w:p w:rsidR="009D1B8C" w:rsidRPr="000B6659" w:rsidRDefault="009D1B8C" w:rsidP="000B6659">
      <w:pPr>
        <w:spacing w:after="0" w:line="240" w:lineRule="auto"/>
        <w:ind w:left="6372" w:right="-850"/>
        <w:rPr>
          <w:rFonts w:ascii="Times New Roman" w:hAnsi="Times New Roman"/>
          <w:sz w:val="24"/>
          <w:szCs w:val="24"/>
          <w:lang w:val="uk-UA"/>
        </w:rPr>
      </w:pPr>
      <w:bookmarkStart w:id="0" w:name="_GoBack"/>
      <w:bookmarkEnd w:id="0"/>
    </w:p>
    <w:sectPr w:rsidR="009D1B8C" w:rsidRPr="000B6659" w:rsidSect="000B6659">
      <w:pgSz w:w="11906" w:h="16838" w:code="9"/>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8C" w:rsidRDefault="009D1B8C" w:rsidP="00785483">
      <w:pPr>
        <w:spacing w:after="0" w:line="240" w:lineRule="auto"/>
      </w:pPr>
      <w:r>
        <w:separator/>
      </w:r>
    </w:p>
  </w:endnote>
  <w:endnote w:type="continuationSeparator" w:id="0">
    <w:p w:rsidR="009D1B8C" w:rsidRDefault="009D1B8C" w:rsidP="0078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8C" w:rsidRDefault="009D1B8C" w:rsidP="00785483">
      <w:pPr>
        <w:spacing w:after="0" w:line="240" w:lineRule="auto"/>
      </w:pPr>
      <w:r>
        <w:separator/>
      </w:r>
    </w:p>
  </w:footnote>
  <w:footnote w:type="continuationSeparator" w:id="0">
    <w:p w:rsidR="009D1B8C" w:rsidRDefault="009D1B8C" w:rsidP="00785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03140"/>
    <w:multiLevelType w:val="hybridMultilevel"/>
    <w:tmpl w:val="C57CBCF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F96EC7"/>
    <w:multiLevelType w:val="hybridMultilevel"/>
    <w:tmpl w:val="6D9C6B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6A5639"/>
    <w:multiLevelType w:val="hybridMultilevel"/>
    <w:tmpl w:val="EF30A760"/>
    <w:lvl w:ilvl="0" w:tplc="0834161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4461AEF"/>
    <w:multiLevelType w:val="hybridMultilevel"/>
    <w:tmpl w:val="23CA5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2B12BD"/>
    <w:multiLevelType w:val="hybridMultilevel"/>
    <w:tmpl w:val="1B5E62F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40082E"/>
    <w:multiLevelType w:val="hybridMultilevel"/>
    <w:tmpl w:val="59D49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B03"/>
    <w:rsid w:val="00021FB5"/>
    <w:rsid w:val="0002582D"/>
    <w:rsid w:val="00032EFB"/>
    <w:rsid w:val="000337C3"/>
    <w:rsid w:val="000368CE"/>
    <w:rsid w:val="0004054A"/>
    <w:rsid w:val="00044549"/>
    <w:rsid w:val="0005116E"/>
    <w:rsid w:val="0005739F"/>
    <w:rsid w:val="000621D0"/>
    <w:rsid w:val="000633A7"/>
    <w:rsid w:val="00067AAB"/>
    <w:rsid w:val="00075D86"/>
    <w:rsid w:val="00090539"/>
    <w:rsid w:val="0009492F"/>
    <w:rsid w:val="000A203E"/>
    <w:rsid w:val="000B36FA"/>
    <w:rsid w:val="000B6659"/>
    <w:rsid w:val="000C0359"/>
    <w:rsid w:val="000C614A"/>
    <w:rsid w:val="000D5484"/>
    <w:rsid w:val="000D60D7"/>
    <w:rsid w:val="00101709"/>
    <w:rsid w:val="0011077C"/>
    <w:rsid w:val="0011165D"/>
    <w:rsid w:val="00122F99"/>
    <w:rsid w:val="00130064"/>
    <w:rsid w:val="00136288"/>
    <w:rsid w:val="00183086"/>
    <w:rsid w:val="00184F71"/>
    <w:rsid w:val="00186CAC"/>
    <w:rsid w:val="00187DD8"/>
    <w:rsid w:val="0019135C"/>
    <w:rsid w:val="00193958"/>
    <w:rsid w:val="001D04D5"/>
    <w:rsid w:val="001D6E72"/>
    <w:rsid w:val="001F4F0D"/>
    <w:rsid w:val="002033C2"/>
    <w:rsid w:val="00207865"/>
    <w:rsid w:val="00210030"/>
    <w:rsid w:val="002134A0"/>
    <w:rsid w:val="002213BD"/>
    <w:rsid w:val="00223189"/>
    <w:rsid w:val="00231928"/>
    <w:rsid w:val="00240118"/>
    <w:rsid w:val="002415F1"/>
    <w:rsid w:val="0025372F"/>
    <w:rsid w:val="002579D7"/>
    <w:rsid w:val="00272164"/>
    <w:rsid w:val="00274066"/>
    <w:rsid w:val="00281B38"/>
    <w:rsid w:val="00297DCB"/>
    <w:rsid w:val="002A0E5B"/>
    <w:rsid w:val="002A65EF"/>
    <w:rsid w:val="002C5418"/>
    <w:rsid w:val="002E3867"/>
    <w:rsid w:val="00301F23"/>
    <w:rsid w:val="0031298F"/>
    <w:rsid w:val="00317612"/>
    <w:rsid w:val="00325394"/>
    <w:rsid w:val="00341C81"/>
    <w:rsid w:val="003436D7"/>
    <w:rsid w:val="00346BC7"/>
    <w:rsid w:val="00352A69"/>
    <w:rsid w:val="00354960"/>
    <w:rsid w:val="00360C1E"/>
    <w:rsid w:val="003630BE"/>
    <w:rsid w:val="003A3CD9"/>
    <w:rsid w:val="003A48A0"/>
    <w:rsid w:val="003A63C6"/>
    <w:rsid w:val="003B1A45"/>
    <w:rsid w:val="003B1DA2"/>
    <w:rsid w:val="003C3123"/>
    <w:rsid w:val="003C3241"/>
    <w:rsid w:val="003E0717"/>
    <w:rsid w:val="003E56DC"/>
    <w:rsid w:val="00401422"/>
    <w:rsid w:val="00414771"/>
    <w:rsid w:val="00422CBA"/>
    <w:rsid w:val="0043207E"/>
    <w:rsid w:val="00434DD6"/>
    <w:rsid w:val="004447B6"/>
    <w:rsid w:val="00447830"/>
    <w:rsid w:val="00471394"/>
    <w:rsid w:val="00482DBF"/>
    <w:rsid w:val="00496CF4"/>
    <w:rsid w:val="004C309A"/>
    <w:rsid w:val="004C6AC9"/>
    <w:rsid w:val="004D79DD"/>
    <w:rsid w:val="004E2AB9"/>
    <w:rsid w:val="00530C8D"/>
    <w:rsid w:val="00544863"/>
    <w:rsid w:val="005532FE"/>
    <w:rsid w:val="00556A1F"/>
    <w:rsid w:val="00560697"/>
    <w:rsid w:val="005821D3"/>
    <w:rsid w:val="0059447A"/>
    <w:rsid w:val="005A1529"/>
    <w:rsid w:val="005A63DC"/>
    <w:rsid w:val="005B1ED4"/>
    <w:rsid w:val="005B679A"/>
    <w:rsid w:val="005C1856"/>
    <w:rsid w:val="005C1CA5"/>
    <w:rsid w:val="005C7114"/>
    <w:rsid w:val="005D17CB"/>
    <w:rsid w:val="0060350E"/>
    <w:rsid w:val="00624FD1"/>
    <w:rsid w:val="00637057"/>
    <w:rsid w:val="006376FF"/>
    <w:rsid w:val="006443D9"/>
    <w:rsid w:val="00646EE6"/>
    <w:rsid w:val="00651AF1"/>
    <w:rsid w:val="006535C7"/>
    <w:rsid w:val="0065366A"/>
    <w:rsid w:val="006622B5"/>
    <w:rsid w:val="006653BE"/>
    <w:rsid w:val="006735D8"/>
    <w:rsid w:val="00682504"/>
    <w:rsid w:val="00687A47"/>
    <w:rsid w:val="00694001"/>
    <w:rsid w:val="00695AD3"/>
    <w:rsid w:val="006A73DB"/>
    <w:rsid w:val="006B18E6"/>
    <w:rsid w:val="006C51AA"/>
    <w:rsid w:val="006E4A6F"/>
    <w:rsid w:val="00720575"/>
    <w:rsid w:val="00720655"/>
    <w:rsid w:val="00723A09"/>
    <w:rsid w:val="00724DCA"/>
    <w:rsid w:val="00734EA5"/>
    <w:rsid w:val="007368D2"/>
    <w:rsid w:val="00740DAF"/>
    <w:rsid w:val="007427B1"/>
    <w:rsid w:val="00744F80"/>
    <w:rsid w:val="00752A53"/>
    <w:rsid w:val="00754EEB"/>
    <w:rsid w:val="00755DA9"/>
    <w:rsid w:val="00756082"/>
    <w:rsid w:val="0075786D"/>
    <w:rsid w:val="007623C5"/>
    <w:rsid w:val="007774D5"/>
    <w:rsid w:val="00785483"/>
    <w:rsid w:val="00797547"/>
    <w:rsid w:val="007A4D16"/>
    <w:rsid w:val="007B03B1"/>
    <w:rsid w:val="007B30F5"/>
    <w:rsid w:val="007B7EA4"/>
    <w:rsid w:val="007F47D5"/>
    <w:rsid w:val="00804397"/>
    <w:rsid w:val="0082098D"/>
    <w:rsid w:val="00821EF2"/>
    <w:rsid w:val="0082448B"/>
    <w:rsid w:val="00830222"/>
    <w:rsid w:val="00842B25"/>
    <w:rsid w:val="00843998"/>
    <w:rsid w:val="00854A38"/>
    <w:rsid w:val="0086412F"/>
    <w:rsid w:val="00882060"/>
    <w:rsid w:val="00886599"/>
    <w:rsid w:val="00886D1F"/>
    <w:rsid w:val="008A0D88"/>
    <w:rsid w:val="008A6942"/>
    <w:rsid w:val="008B3C9F"/>
    <w:rsid w:val="008B4E36"/>
    <w:rsid w:val="008B7402"/>
    <w:rsid w:val="008C2E87"/>
    <w:rsid w:val="008C65C9"/>
    <w:rsid w:val="008D1B5A"/>
    <w:rsid w:val="008D2021"/>
    <w:rsid w:val="008F09F4"/>
    <w:rsid w:val="009002D6"/>
    <w:rsid w:val="009044AB"/>
    <w:rsid w:val="009112D8"/>
    <w:rsid w:val="009174A5"/>
    <w:rsid w:val="00921A16"/>
    <w:rsid w:val="00922A2B"/>
    <w:rsid w:val="009278A3"/>
    <w:rsid w:val="009328D4"/>
    <w:rsid w:val="00945EAD"/>
    <w:rsid w:val="00953772"/>
    <w:rsid w:val="0097657C"/>
    <w:rsid w:val="00987B85"/>
    <w:rsid w:val="009958EC"/>
    <w:rsid w:val="009A41D2"/>
    <w:rsid w:val="009C4F47"/>
    <w:rsid w:val="009C6B02"/>
    <w:rsid w:val="009D1B8C"/>
    <w:rsid w:val="009D7961"/>
    <w:rsid w:val="009F16BB"/>
    <w:rsid w:val="009F7F58"/>
    <w:rsid w:val="00A10688"/>
    <w:rsid w:val="00A30805"/>
    <w:rsid w:val="00A32BE8"/>
    <w:rsid w:val="00A41482"/>
    <w:rsid w:val="00A55090"/>
    <w:rsid w:val="00A72D52"/>
    <w:rsid w:val="00A73EC9"/>
    <w:rsid w:val="00A77908"/>
    <w:rsid w:val="00A84A71"/>
    <w:rsid w:val="00AB1781"/>
    <w:rsid w:val="00AB3DC5"/>
    <w:rsid w:val="00AB5A58"/>
    <w:rsid w:val="00AC456C"/>
    <w:rsid w:val="00AD39FE"/>
    <w:rsid w:val="00AE72DD"/>
    <w:rsid w:val="00AF6050"/>
    <w:rsid w:val="00B033E8"/>
    <w:rsid w:val="00B0506B"/>
    <w:rsid w:val="00B1015A"/>
    <w:rsid w:val="00B32FDB"/>
    <w:rsid w:val="00B367F8"/>
    <w:rsid w:val="00B36A78"/>
    <w:rsid w:val="00B41AF3"/>
    <w:rsid w:val="00B41BA4"/>
    <w:rsid w:val="00B43217"/>
    <w:rsid w:val="00B75831"/>
    <w:rsid w:val="00B87844"/>
    <w:rsid w:val="00B91925"/>
    <w:rsid w:val="00BA4128"/>
    <w:rsid w:val="00BA6E15"/>
    <w:rsid w:val="00BB0843"/>
    <w:rsid w:val="00BB363B"/>
    <w:rsid w:val="00BD3785"/>
    <w:rsid w:val="00BD3CF8"/>
    <w:rsid w:val="00BD3EDA"/>
    <w:rsid w:val="00C10844"/>
    <w:rsid w:val="00C12782"/>
    <w:rsid w:val="00C16DEF"/>
    <w:rsid w:val="00C210AA"/>
    <w:rsid w:val="00C22E13"/>
    <w:rsid w:val="00C37A5C"/>
    <w:rsid w:val="00C61413"/>
    <w:rsid w:val="00C6340B"/>
    <w:rsid w:val="00C652A4"/>
    <w:rsid w:val="00C70DC4"/>
    <w:rsid w:val="00C73688"/>
    <w:rsid w:val="00C84C9A"/>
    <w:rsid w:val="00C867F2"/>
    <w:rsid w:val="00C92201"/>
    <w:rsid w:val="00C96C27"/>
    <w:rsid w:val="00CA5C6C"/>
    <w:rsid w:val="00CB6C19"/>
    <w:rsid w:val="00CD26C4"/>
    <w:rsid w:val="00CD6970"/>
    <w:rsid w:val="00D00027"/>
    <w:rsid w:val="00D01368"/>
    <w:rsid w:val="00D223C6"/>
    <w:rsid w:val="00D314D5"/>
    <w:rsid w:val="00D34650"/>
    <w:rsid w:val="00D47511"/>
    <w:rsid w:val="00D51C67"/>
    <w:rsid w:val="00D566B5"/>
    <w:rsid w:val="00D70E43"/>
    <w:rsid w:val="00D70EAC"/>
    <w:rsid w:val="00D75AC0"/>
    <w:rsid w:val="00D815D7"/>
    <w:rsid w:val="00D9538F"/>
    <w:rsid w:val="00DA12B0"/>
    <w:rsid w:val="00DA382C"/>
    <w:rsid w:val="00DD0887"/>
    <w:rsid w:val="00DE5FCD"/>
    <w:rsid w:val="00E01308"/>
    <w:rsid w:val="00E456D2"/>
    <w:rsid w:val="00E7023B"/>
    <w:rsid w:val="00E8044F"/>
    <w:rsid w:val="00E85F75"/>
    <w:rsid w:val="00EA7F27"/>
    <w:rsid w:val="00EB3ACC"/>
    <w:rsid w:val="00EC4885"/>
    <w:rsid w:val="00ED5A70"/>
    <w:rsid w:val="00EE78CB"/>
    <w:rsid w:val="00EF7B03"/>
    <w:rsid w:val="00F03375"/>
    <w:rsid w:val="00F1006C"/>
    <w:rsid w:val="00F1043B"/>
    <w:rsid w:val="00F15D62"/>
    <w:rsid w:val="00F33AF6"/>
    <w:rsid w:val="00F357BF"/>
    <w:rsid w:val="00F35A2E"/>
    <w:rsid w:val="00F46855"/>
    <w:rsid w:val="00F61FDB"/>
    <w:rsid w:val="00F712D8"/>
    <w:rsid w:val="00F8072C"/>
    <w:rsid w:val="00F9034E"/>
    <w:rsid w:val="00F91B15"/>
    <w:rsid w:val="00F965A1"/>
    <w:rsid w:val="00F97295"/>
    <w:rsid w:val="00FA62DE"/>
    <w:rsid w:val="00FB10FC"/>
    <w:rsid w:val="00FB450A"/>
    <w:rsid w:val="00FC3F67"/>
    <w:rsid w:val="00FF123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59"/>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48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5483"/>
    <w:rPr>
      <w:rFonts w:cs="Times New Roman"/>
    </w:rPr>
  </w:style>
  <w:style w:type="paragraph" w:styleId="Footer">
    <w:name w:val="footer"/>
    <w:basedOn w:val="Normal"/>
    <w:link w:val="FooterChar"/>
    <w:uiPriority w:val="99"/>
    <w:rsid w:val="0078548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5483"/>
    <w:rPr>
      <w:rFonts w:cs="Times New Roman"/>
    </w:rPr>
  </w:style>
  <w:style w:type="paragraph" w:styleId="ListParagraph">
    <w:name w:val="List Paragraph"/>
    <w:basedOn w:val="Normal"/>
    <w:uiPriority w:val="99"/>
    <w:qFormat/>
    <w:rsid w:val="00987B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5</Pages>
  <Words>6777</Words>
  <Characters>3863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Снісаренко</cp:lastModifiedBy>
  <cp:revision>14</cp:revision>
  <dcterms:created xsi:type="dcterms:W3CDTF">2014-10-04T17:59:00Z</dcterms:created>
  <dcterms:modified xsi:type="dcterms:W3CDTF">2014-10-24T06:24:00Z</dcterms:modified>
</cp:coreProperties>
</file>